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  <w:sz w:val="44"/>
          <w:szCs w:val="44"/>
        </w:rPr>
        <w:t>公告信息</w:t>
      </w:r>
    </w:p>
    <w:p>
      <w:pPr>
        <w:ind w:firstLine="420" w:firstLineChars="0"/>
        <w:rPr>
          <w:rFonts w:hint="eastAsia"/>
        </w:rPr>
      </w:pPr>
      <w:r>
        <w:rPr>
          <w:rFonts w:hint="eastAsia"/>
        </w:rPr>
        <w:t>1.学校内部出版物审核登记无误后，发给正式的“校园内部出版物准印证”。</w:t>
      </w:r>
    </w:p>
    <w:p>
      <w:pPr>
        <w:ind w:firstLine="420" w:firstLineChars="0"/>
      </w:pPr>
      <w:bookmarkStart w:id="0" w:name="_GoBack"/>
      <w:bookmarkEnd w:id="0"/>
      <w:r>
        <w:rPr>
          <w:rFonts w:hint="eastAsia"/>
        </w:rPr>
        <w:t>2.学校内部出版物登记后，半年内不出刊的，视为停刊。如需继续出版，须向校党委宣传部重新注册登记。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2F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信技院</dc:creator>
  <cp:lastModifiedBy>信技院</cp:lastModifiedBy>
  <dcterms:modified xsi:type="dcterms:W3CDTF">2019-05-09T08:33:45Z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